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E" w:rsidRDefault="005829EE" w:rsidP="00E25197">
      <w:pPr>
        <w:rPr>
          <w:rFonts w:ascii="Arial" w:hAnsi="Arial" w:cs="Arial"/>
          <w:b/>
          <w:sz w:val="28"/>
          <w:szCs w:val="28"/>
        </w:rPr>
      </w:pPr>
    </w:p>
    <w:p w:rsidR="000D65B5" w:rsidRDefault="00E25197" w:rsidP="000D65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AYUNTAMIENTO CONSTITUCIONAL</w:t>
      </w:r>
    </w:p>
    <w:p w:rsidR="00E25197" w:rsidRDefault="00E25197" w:rsidP="000D65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DE ZITÁCUARO, MICHOACÁN. </w:t>
      </w:r>
    </w:p>
    <w:p w:rsidR="00FD36C7" w:rsidRDefault="000D65B5" w:rsidP="000D65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– 2018</w:t>
      </w:r>
    </w:p>
    <w:p w:rsidR="00E25197" w:rsidRPr="00E25197" w:rsidRDefault="00E25197" w:rsidP="00E25197">
      <w:pPr>
        <w:jc w:val="center"/>
        <w:rPr>
          <w:rFonts w:ascii="Arial" w:hAnsi="Arial" w:cs="Arial"/>
          <w:b/>
          <w:sz w:val="28"/>
          <w:szCs w:val="28"/>
        </w:rPr>
      </w:pPr>
    </w:p>
    <w:p w:rsidR="008B407B" w:rsidRPr="00AC32F8" w:rsidRDefault="008B407B" w:rsidP="008B407B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(ATRIBUCIONES POR UNIDAD ADMINISTRATIVA)</w:t>
      </w: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953"/>
        <w:gridCol w:w="3833"/>
      </w:tblGrid>
      <w:tr w:rsidR="006D4F25" w:rsidRPr="005829EE" w:rsidTr="000D65B5">
        <w:trPr>
          <w:trHeight w:val="406"/>
          <w:jc w:val="center"/>
        </w:trPr>
        <w:tc>
          <w:tcPr>
            <w:tcW w:w="2547" w:type="dxa"/>
            <w:shd w:val="clear" w:color="auto" w:fill="F4B083"/>
            <w:vAlign w:val="center"/>
          </w:tcPr>
          <w:p w:rsidR="006D4F25" w:rsidRPr="00F40362" w:rsidRDefault="006D4F25" w:rsidP="002A6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 xml:space="preserve">Nombre de la unidad administrativa.  </w:t>
            </w:r>
          </w:p>
        </w:tc>
        <w:tc>
          <w:tcPr>
            <w:tcW w:w="5953" w:type="dxa"/>
            <w:shd w:val="clear" w:color="auto" w:fill="F4B083"/>
          </w:tcPr>
          <w:p w:rsidR="006D4F25" w:rsidRPr="00F40362" w:rsidRDefault="006D4F25" w:rsidP="002A6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bCs/>
                <w:sz w:val="20"/>
                <w:szCs w:val="20"/>
              </w:rPr>
              <w:t>Atribuciones o facultades que se le confiere a cada una de ellas.</w:t>
            </w:r>
          </w:p>
        </w:tc>
        <w:tc>
          <w:tcPr>
            <w:tcW w:w="3833" w:type="dxa"/>
            <w:shd w:val="clear" w:color="auto" w:fill="F4B083"/>
            <w:vAlign w:val="center"/>
          </w:tcPr>
          <w:p w:rsidR="006D4F25" w:rsidRPr="00F40362" w:rsidRDefault="006D4F25" w:rsidP="002A6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>Vínculo al fundamento legal.</w:t>
            </w:r>
          </w:p>
        </w:tc>
      </w:tr>
      <w:tr w:rsidR="006D4F25" w:rsidRPr="005829EE" w:rsidTr="000D65B5">
        <w:trPr>
          <w:trHeight w:val="310"/>
          <w:jc w:val="center"/>
        </w:trPr>
        <w:tc>
          <w:tcPr>
            <w:tcW w:w="2547" w:type="dxa"/>
            <w:vAlign w:val="center"/>
          </w:tcPr>
          <w:p w:rsidR="006D4F25" w:rsidRPr="005829EE" w:rsidRDefault="00E25197" w:rsidP="002A6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PROTOCOLO</w:t>
            </w:r>
          </w:p>
        </w:tc>
        <w:tc>
          <w:tcPr>
            <w:tcW w:w="5953" w:type="dxa"/>
          </w:tcPr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CAPÍTULO II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DE LAS  A TRIBUCIONES DEL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 xml:space="preserve">PRESIDENTE </w:t>
            </w:r>
            <w:r w:rsidR="000D65B5">
              <w:rPr>
                <w:rFonts w:ascii="Arial" w:hAnsi="Arial" w:cs="Arial"/>
                <w:sz w:val="16"/>
                <w:szCs w:val="16"/>
              </w:rPr>
              <w:t>MUNICIP</w:t>
            </w:r>
            <w:r w:rsidRPr="004D67E0">
              <w:rPr>
                <w:rFonts w:ascii="Arial" w:hAnsi="Arial" w:cs="Arial"/>
                <w:sz w:val="16"/>
                <w:szCs w:val="16"/>
              </w:rPr>
              <w:t>AL</w:t>
            </w:r>
          </w:p>
          <w:p w:rsidR="000D65B5" w:rsidRDefault="000D65B5" w:rsidP="000D65B5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ARTÍCULO 19.El estudio, planeación, trámite y resolución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de los asuntos competencia del  Ayuntamiento, así como su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representación, corresponde originalmente al Presidente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quien para su mejor atención y despacho, podrá delegar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sus facultades en los servidores públicos subalternos, sin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perder por ello la posibilidad de su ejercicio directo, excepto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aquellas que por disposición de Ley , deban ser ejecutadas</w:t>
            </w:r>
          </w:p>
          <w:p w:rsidR="000D65B5" w:rsidRDefault="000D65B5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En</w:t>
            </w:r>
            <w:r w:rsidR="004D67E0" w:rsidRPr="004D67E0">
              <w:rPr>
                <w:rFonts w:ascii="Arial" w:hAnsi="Arial" w:cs="Arial"/>
                <w:sz w:val="16"/>
                <w:szCs w:val="16"/>
              </w:rPr>
              <w:t xml:space="preserve"> forma directa por él.</w:t>
            </w:r>
          </w:p>
          <w:p w:rsidR="000D65B5" w:rsidRPr="004D67E0" w:rsidRDefault="000D65B5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Además de las atribuciones señaladas en la Ley Orgánica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Municipal del Estado de Michoacán de Ocampo, tendrá las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siguientes obligaciones: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I. El Presidente Municipal someterá a consideración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del  Ayuntamiento los reglamentos, acuerdos,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manuales y se requerirá el voto de las dos terceras</w:t>
            </w:r>
          </w:p>
          <w:p w:rsidR="004D67E0" w:rsidRPr="004D67E0" w:rsidRDefault="00644736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partes de los miembros del </w:t>
            </w:r>
            <w:r w:rsidRPr="004D67E0">
              <w:rPr>
                <w:rFonts w:ascii="Arial" w:hAnsi="Arial" w:cs="Arial"/>
                <w:sz w:val="16"/>
                <w:szCs w:val="16"/>
              </w:rPr>
              <w:t>ayuntamiento</w:t>
            </w:r>
            <w:r w:rsidR="004D67E0" w:rsidRPr="004D67E0">
              <w:rPr>
                <w:rFonts w:ascii="Arial" w:hAnsi="Arial" w:cs="Arial"/>
                <w:sz w:val="16"/>
                <w:szCs w:val="16"/>
              </w:rPr>
              <w:t xml:space="preserve"> para su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aprobación;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II. El Presidente puede expedir circulares y otras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disposiciones que tiendan a regular el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funcionamiento de las dependencias y entidades de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la  Administración Pública Municipal, sin contravenir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lastRenderedPageBreak/>
              <w:t>a los presupuestos de egresos aprobados o sin que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ello implique descuentos o devoluciones que afecten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los ingresos del  Ayuntamiento o de organismos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descentralizados; y,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III. Las demás que le señale la Constitución Política de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los Estados Unidos Mexicanos, la Constitución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Política del Estado, las leyes que de estas emanen, la</w:t>
            </w:r>
          </w:p>
          <w:p w:rsidR="004D67E0" w:rsidRPr="004D67E0" w:rsidRDefault="004D67E0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Ley Orgánica Municipal, sus reglamentos y otras</w:t>
            </w:r>
          </w:p>
          <w:p w:rsidR="006D4F25" w:rsidRPr="009821E7" w:rsidRDefault="00644736" w:rsidP="000D65B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7E0">
              <w:rPr>
                <w:rFonts w:ascii="Arial" w:hAnsi="Arial" w:cs="Arial"/>
                <w:sz w:val="16"/>
                <w:szCs w:val="16"/>
              </w:rPr>
              <w:t>Disposiciones</w:t>
            </w:r>
            <w:r w:rsidR="004D67E0" w:rsidRPr="004D67E0">
              <w:rPr>
                <w:rFonts w:ascii="Arial" w:hAnsi="Arial" w:cs="Arial"/>
                <w:sz w:val="16"/>
                <w:szCs w:val="16"/>
              </w:rPr>
              <w:t xml:space="preserve"> del orden municipal.</w:t>
            </w:r>
          </w:p>
        </w:tc>
        <w:tc>
          <w:tcPr>
            <w:tcW w:w="3833" w:type="dxa"/>
            <w:vAlign w:val="center"/>
          </w:tcPr>
          <w:p w:rsidR="006D4F25" w:rsidRPr="000930F8" w:rsidRDefault="00E25197" w:rsidP="002A6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REGLAMENTO DE LA ADMINISTRACION PUBLICA DEL MUNICIPIO DE ZITACUARO, MICHOACAN. </w:t>
            </w:r>
            <w:r w:rsidR="008F776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6D4F25" w:rsidRPr="005829EE" w:rsidRDefault="006D4F25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D4F25" w:rsidRDefault="006D4F25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8B407B" w:rsidRDefault="008B407B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tbl>
      <w:tblPr>
        <w:tblpPr w:leftFromText="141" w:rightFromText="141" w:vertAnchor="text" w:horzAnchor="margin" w:tblpXSpec="center" w:tblpYSpec="inside"/>
        <w:tblW w:w="10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782"/>
        <w:gridCol w:w="3361"/>
      </w:tblGrid>
      <w:tr w:rsidR="006D4F25" w:rsidRPr="00A325EF" w:rsidTr="000D65B5">
        <w:trPr>
          <w:trHeight w:val="363"/>
        </w:trPr>
        <w:tc>
          <w:tcPr>
            <w:tcW w:w="3116" w:type="dxa"/>
            <w:shd w:val="clear" w:color="auto" w:fill="BFBFBF"/>
            <w:vAlign w:val="center"/>
          </w:tcPr>
          <w:p w:rsidR="006D4F25" w:rsidRPr="009821E7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de la información </w:t>
            </w:r>
          </w:p>
        </w:tc>
        <w:tc>
          <w:tcPr>
            <w:tcW w:w="3782" w:type="dxa"/>
            <w:shd w:val="clear" w:color="auto" w:fill="BFBFBF"/>
            <w:vAlign w:val="center"/>
          </w:tcPr>
          <w:p w:rsidR="006D4F25" w:rsidRPr="009821E7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361" w:type="dxa"/>
            <w:shd w:val="clear" w:color="auto" w:fill="BFBFBF"/>
            <w:vAlign w:val="center"/>
          </w:tcPr>
          <w:p w:rsidR="006D4F25" w:rsidRPr="009821E7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6D4F25" w:rsidRPr="00A325EF" w:rsidTr="000D65B5">
        <w:trPr>
          <w:trHeight w:val="507"/>
        </w:trPr>
        <w:tc>
          <w:tcPr>
            <w:tcW w:w="3116" w:type="dxa"/>
            <w:vAlign w:val="center"/>
          </w:tcPr>
          <w:p w:rsidR="006D4F25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6D4F25" w:rsidRPr="009821E7" w:rsidRDefault="00E2519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23/05/16</w:t>
            </w:r>
          </w:p>
        </w:tc>
        <w:tc>
          <w:tcPr>
            <w:tcW w:w="3782" w:type="dxa"/>
            <w:vAlign w:val="center"/>
          </w:tcPr>
          <w:p w:rsidR="006D4F25" w:rsidRPr="009821E7" w:rsidRDefault="00E2519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PROTOCOLO</w:t>
            </w:r>
          </w:p>
        </w:tc>
        <w:tc>
          <w:tcPr>
            <w:tcW w:w="3361" w:type="dxa"/>
            <w:vAlign w:val="center"/>
          </w:tcPr>
          <w:p w:rsidR="00181100" w:rsidRPr="00C46F19" w:rsidRDefault="00181100" w:rsidP="001811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6D4F25" w:rsidRPr="009821E7" w:rsidRDefault="00181100" w:rsidP="00181100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MACION</w:t>
            </w:r>
          </w:p>
        </w:tc>
      </w:tr>
    </w:tbl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6504BA" w:rsidRPr="005829EE" w:rsidRDefault="006504BA" w:rsidP="006504BA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6504BA" w:rsidRPr="005829EE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504BA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BF1103" w:rsidRDefault="00BF1103"/>
    <w:sectPr w:rsidR="00BF1103" w:rsidSect="00FC563F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D5" w:rsidRDefault="00B743D5" w:rsidP="0087192B">
      <w:pPr>
        <w:spacing w:after="0" w:line="240" w:lineRule="auto"/>
      </w:pPr>
      <w:r>
        <w:separator/>
      </w:r>
    </w:p>
  </w:endnote>
  <w:endnote w:type="continuationSeparator" w:id="0">
    <w:p w:rsidR="00B743D5" w:rsidRDefault="00B743D5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D5" w:rsidRDefault="00B743D5" w:rsidP="0087192B">
      <w:pPr>
        <w:spacing w:after="0" w:line="240" w:lineRule="auto"/>
      </w:pPr>
      <w:r>
        <w:separator/>
      </w:r>
    </w:p>
  </w:footnote>
  <w:footnote w:type="continuationSeparator" w:id="0">
    <w:p w:rsidR="00B743D5" w:rsidRDefault="00B743D5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sdt>
        <w:sdtPr>
          <w:id w:val="-1911997525"/>
          <w:docPartObj>
            <w:docPartGallery w:val="Page Numbers (Top of Page)"/>
            <w:docPartUnique/>
          </w:docPartObj>
        </w:sdtPr>
        <w:sdtEndPr/>
        <w:sdtContent>
          <w:p w:rsidR="00F564F2" w:rsidRDefault="00F564F2" w:rsidP="00F564F2">
            <w:pPr>
              <w:pStyle w:val="Encabezad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6710045</wp:posOffset>
                  </wp:positionH>
                  <wp:positionV relativeFrom="paragraph">
                    <wp:posOffset>-123190</wp:posOffset>
                  </wp:positionV>
                  <wp:extent cx="1181100" cy="78676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-283845</wp:posOffset>
                  </wp:positionV>
                  <wp:extent cx="756285" cy="914400"/>
                  <wp:effectExtent l="0" t="0" r="571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64F2" w:rsidRDefault="00F564F2" w:rsidP="00F564F2">
            <w:pPr>
              <w:pStyle w:val="Encabezado"/>
              <w:jc w:val="right"/>
            </w:pPr>
          </w:p>
          <w:p w:rsidR="00F564F2" w:rsidRDefault="00F564F2" w:rsidP="00F564F2">
            <w:pPr>
              <w:pStyle w:val="Encabezado"/>
              <w:jc w:val="right"/>
            </w:pPr>
          </w:p>
          <w:p w:rsidR="00F564F2" w:rsidRDefault="00B743D5" w:rsidP="00F564F2">
            <w:pPr>
              <w:pStyle w:val="Encabezado"/>
              <w:jc w:val="right"/>
            </w:pPr>
          </w:p>
        </w:sdtContent>
      </w:sdt>
      <w:p w:rsidR="0087192B" w:rsidRDefault="00B743D5">
        <w:pPr>
          <w:pStyle w:val="Encabezado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34E94"/>
    <w:rsid w:val="000D65B5"/>
    <w:rsid w:val="00150316"/>
    <w:rsid w:val="00181100"/>
    <w:rsid w:val="002304DE"/>
    <w:rsid w:val="003B62DE"/>
    <w:rsid w:val="004137FF"/>
    <w:rsid w:val="00463DD0"/>
    <w:rsid w:val="004D67E0"/>
    <w:rsid w:val="00514828"/>
    <w:rsid w:val="005829EE"/>
    <w:rsid w:val="00644736"/>
    <w:rsid w:val="006504BA"/>
    <w:rsid w:val="006D4F25"/>
    <w:rsid w:val="00823E29"/>
    <w:rsid w:val="0087192B"/>
    <w:rsid w:val="008B407B"/>
    <w:rsid w:val="008F7760"/>
    <w:rsid w:val="00943ABC"/>
    <w:rsid w:val="00A85DC8"/>
    <w:rsid w:val="00AD71E0"/>
    <w:rsid w:val="00AE1700"/>
    <w:rsid w:val="00AE36B6"/>
    <w:rsid w:val="00B57434"/>
    <w:rsid w:val="00B743D5"/>
    <w:rsid w:val="00B82713"/>
    <w:rsid w:val="00BC61C2"/>
    <w:rsid w:val="00BF1103"/>
    <w:rsid w:val="00C84D42"/>
    <w:rsid w:val="00D06640"/>
    <w:rsid w:val="00DE1CCB"/>
    <w:rsid w:val="00E25197"/>
    <w:rsid w:val="00EF76ED"/>
    <w:rsid w:val="00F31827"/>
    <w:rsid w:val="00F40362"/>
    <w:rsid w:val="00F564F2"/>
    <w:rsid w:val="00F57F6B"/>
    <w:rsid w:val="00FB136E"/>
    <w:rsid w:val="00FC563F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14A92-C605-4FFB-9AE9-96E450A9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36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7</cp:revision>
  <cp:lastPrinted>2016-05-24T21:08:00Z</cp:lastPrinted>
  <dcterms:created xsi:type="dcterms:W3CDTF">2016-05-24T20:38:00Z</dcterms:created>
  <dcterms:modified xsi:type="dcterms:W3CDTF">2016-06-01T20:44:00Z</dcterms:modified>
</cp:coreProperties>
</file>