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E3" w:rsidRPr="00DB4ACA" w:rsidRDefault="00D05EE3" w:rsidP="00D05EE3">
      <w:pPr>
        <w:pStyle w:val="Encabezado"/>
        <w:jc w:val="center"/>
        <w:rPr>
          <w:rFonts w:ascii="Arial" w:hAnsi="Arial" w:cs="Arial"/>
          <w:b/>
          <w:sz w:val="24"/>
        </w:rPr>
      </w:pPr>
      <w:r w:rsidRPr="00DB4ACA">
        <w:rPr>
          <w:rFonts w:ascii="Arial" w:hAnsi="Arial" w:cs="Arial"/>
          <w:b/>
          <w:sz w:val="24"/>
        </w:rPr>
        <w:t>AYUNTAMIENTO CONSTITUCIONAL</w:t>
      </w:r>
      <w:r w:rsidRPr="00DB4ACA">
        <w:rPr>
          <w:rFonts w:ascii="Arial" w:hAnsi="Arial" w:cs="Arial"/>
          <w:b/>
          <w:sz w:val="24"/>
        </w:rPr>
        <w:br/>
      </w:r>
      <w:r w:rsidR="00046749">
        <w:rPr>
          <w:rFonts w:ascii="Arial" w:hAnsi="Arial" w:cs="Arial"/>
          <w:b/>
          <w:sz w:val="24"/>
        </w:rPr>
        <w:t xml:space="preserve"> DE </w:t>
      </w:r>
      <w:r w:rsidRPr="00DB4ACA">
        <w:rPr>
          <w:rFonts w:ascii="Arial" w:hAnsi="Arial" w:cs="Arial"/>
          <w:b/>
          <w:sz w:val="24"/>
        </w:rPr>
        <w:t>ZITACUARO, MICHOACAN</w:t>
      </w:r>
    </w:p>
    <w:p w:rsidR="00D05EE3" w:rsidRPr="00DB4ACA" w:rsidRDefault="00D05EE3" w:rsidP="00D05EE3">
      <w:pPr>
        <w:jc w:val="center"/>
        <w:rPr>
          <w:rFonts w:ascii="Arial" w:hAnsi="Arial" w:cs="Arial"/>
          <w:b/>
          <w:sz w:val="32"/>
          <w:szCs w:val="28"/>
        </w:rPr>
      </w:pPr>
      <w:r w:rsidRPr="00DB4ACA">
        <w:rPr>
          <w:rFonts w:ascii="Arial" w:hAnsi="Arial" w:cs="Arial"/>
          <w:b/>
          <w:sz w:val="24"/>
        </w:rPr>
        <w:t>2015-2018</w:t>
      </w:r>
    </w:p>
    <w:p w:rsidR="00D05EE3" w:rsidRDefault="00D05EE3" w:rsidP="00D05EE3">
      <w:pPr>
        <w:jc w:val="both"/>
        <w:rPr>
          <w:rFonts w:ascii="Arial" w:hAnsi="Arial" w:cs="Arial"/>
          <w:sz w:val="24"/>
          <w:szCs w:val="24"/>
        </w:rPr>
      </w:pPr>
    </w:p>
    <w:p w:rsidR="00D05EE3" w:rsidRDefault="00D05EE3" w:rsidP="00D05EE3">
      <w:pPr>
        <w:autoSpaceDE w:val="0"/>
        <w:autoSpaceDN w:val="0"/>
        <w:adjustRightInd w:val="0"/>
        <w:ind w:right="333"/>
        <w:jc w:val="center"/>
        <w:rPr>
          <w:rFonts w:ascii="Arial" w:hAnsi="Arial" w:cs="Arial"/>
          <w:sz w:val="24"/>
          <w:szCs w:val="24"/>
        </w:rPr>
      </w:pPr>
      <w:r>
        <w:rPr>
          <w:rFonts w:ascii="Arial" w:eastAsia="Times New Roman" w:hAnsi="Arial" w:cs="Arial"/>
          <w:b/>
          <w:bCs/>
          <w:sz w:val="24"/>
          <w:szCs w:val="24"/>
        </w:rPr>
        <w:t>FORMATO: FRACCIÓN II (ATRIBUCIONES POR UNIDAD ADMINISTRATIVA)</w:t>
      </w:r>
    </w:p>
    <w:tbl>
      <w:tblPr>
        <w:tblW w:w="16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5"/>
        <w:gridCol w:w="8930"/>
        <w:gridCol w:w="3902"/>
      </w:tblGrid>
      <w:tr w:rsidR="00D05EE3" w:rsidTr="00006205">
        <w:trPr>
          <w:trHeight w:val="501"/>
          <w:jc w:val="center"/>
        </w:trPr>
        <w:tc>
          <w:tcPr>
            <w:tcW w:w="4015"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D05EE3" w:rsidRDefault="00D05EE3" w:rsidP="00006205">
            <w:pPr>
              <w:jc w:val="center"/>
              <w:rPr>
                <w:rFonts w:ascii="Arial" w:hAnsi="Arial" w:cs="Arial"/>
                <w:b/>
                <w:sz w:val="20"/>
                <w:szCs w:val="20"/>
                <w:lang w:eastAsia="en-US"/>
              </w:rPr>
            </w:pPr>
            <w:r>
              <w:rPr>
                <w:rFonts w:ascii="Arial" w:hAnsi="Arial" w:cs="Arial"/>
                <w:b/>
                <w:sz w:val="20"/>
                <w:szCs w:val="20"/>
                <w:lang w:eastAsia="en-US"/>
              </w:rPr>
              <w:t xml:space="preserve">Nombre de la unidad administrativa.  </w:t>
            </w:r>
          </w:p>
        </w:tc>
        <w:tc>
          <w:tcPr>
            <w:tcW w:w="8930" w:type="dxa"/>
            <w:tcBorders>
              <w:top w:val="single" w:sz="4" w:space="0" w:color="auto"/>
              <w:left w:val="single" w:sz="4" w:space="0" w:color="auto"/>
              <w:bottom w:val="single" w:sz="4" w:space="0" w:color="auto"/>
              <w:right w:val="single" w:sz="4" w:space="0" w:color="auto"/>
            </w:tcBorders>
            <w:shd w:val="clear" w:color="auto" w:fill="F4B083"/>
            <w:hideMark/>
          </w:tcPr>
          <w:p w:rsidR="00D05EE3" w:rsidRDefault="00D05EE3" w:rsidP="00006205">
            <w:pPr>
              <w:jc w:val="center"/>
              <w:rPr>
                <w:rFonts w:ascii="Arial" w:hAnsi="Arial" w:cs="Arial"/>
                <w:b/>
                <w:sz w:val="20"/>
                <w:szCs w:val="20"/>
                <w:lang w:eastAsia="en-US"/>
              </w:rPr>
            </w:pPr>
            <w:r>
              <w:rPr>
                <w:rFonts w:ascii="Arial" w:hAnsi="Arial" w:cs="Arial"/>
                <w:b/>
                <w:bCs/>
                <w:sz w:val="20"/>
                <w:szCs w:val="20"/>
                <w:lang w:eastAsia="en-US"/>
              </w:rPr>
              <w:t>Atribuciones o facultades que se le confiere a cada una de ellas.</w:t>
            </w:r>
          </w:p>
        </w:tc>
        <w:tc>
          <w:tcPr>
            <w:tcW w:w="3902"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D05EE3" w:rsidRDefault="00D05EE3" w:rsidP="00006205">
            <w:pPr>
              <w:jc w:val="center"/>
              <w:rPr>
                <w:rFonts w:ascii="Arial" w:hAnsi="Arial" w:cs="Arial"/>
                <w:b/>
                <w:sz w:val="20"/>
                <w:szCs w:val="20"/>
                <w:lang w:eastAsia="en-US"/>
              </w:rPr>
            </w:pPr>
            <w:r>
              <w:rPr>
                <w:rFonts w:ascii="Arial" w:hAnsi="Arial" w:cs="Arial"/>
                <w:b/>
                <w:sz w:val="20"/>
                <w:szCs w:val="20"/>
                <w:lang w:eastAsia="en-US"/>
              </w:rPr>
              <w:t>Vínculo al fundamento legal.</w:t>
            </w:r>
          </w:p>
        </w:tc>
      </w:tr>
      <w:tr w:rsidR="00D05EE3" w:rsidTr="00006205">
        <w:trPr>
          <w:trHeight w:val="382"/>
          <w:jc w:val="center"/>
        </w:trPr>
        <w:tc>
          <w:tcPr>
            <w:tcW w:w="4015" w:type="dxa"/>
            <w:tcBorders>
              <w:top w:val="single" w:sz="4" w:space="0" w:color="auto"/>
              <w:left w:val="single" w:sz="4" w:space="0" w:color="auto"/>
              <w:bottom w:val="single" w:sz="4" w:space="0" w:color="auto"/>
              <w:right w:val="single" w:sz="4" w:space="0" w:color="auto"/>
            </w:tcBorders>
            <w:vAlign w:val="center"/>
          </w:tcPr>
          <w:p w:rsidR="00D05EE3" w:rsidRPr="002E74F0" w:rsidRDefault="00D05EE3" w:rsidP="00006205">
            <w:pPr>
              <w:jc w:val="center"/>
            </w:pPr>
            <w:r>
              <w:t>DIRECCIÓN DE DERROLLO SOCIAL</w:t>
            </w:r>
          </w:p>
        </w:tc>
        <w:tc>
          <w:tcPr>
            <w:tcW w:w="8930" w:type="dxa"/>
            <w:tcBorders>
              <w:top w:val="single" w:sz="4" w:space="0" w:color="auto"/>
              <w:left w:val="single" w:sz="4" w:space="0" w:color="auto"/>
              <w:bottom w:val="single" w:sz="4" w:space="0" w:color="auto"/>
              <w:right w:val="single" w:sz="4" w:space="0" w:color="auto"/>
            </w:tcBorders>
          </w:tcPr>
          <w:p w:rsidR="00D05EE3" w:rsidRDefault="00D05EE3" w:rsidP="00006205">
            <w:pPr>
              <w:shd w:val="clear" w:color="auto" w:fill="FFFFFF"/>
              <w:spacing w:line="240" w:lineRule="auto"/>
              <w:jc w:val="both"/>
            </w:pPr>
            <w:r>
              <w:t xml:space="preserve">DE LAS ATRIBUCIONES DE LA DIRECCIÓN DE DESARROLLO SOCIAL ARTÍCULO 58. Corresponde a la Dirección de Desarrollo Social las funciones siguientes: </w:t>
            </w:r>
          </w:p>
          <w:p w:rsidR="00D05EE3" w:rsidRDefault="00D05EE3" w:rsidP="00006205">
            <w:pPr>
              <w:pStyle w:val="Prrafodelista"/>
              <w:numPr>
                <w:ilvl w:val="0"/>
                <w:numId w:val="1"/>
              </w:numPr>
              <w:shd w:val="clear" w:color="auto" w:fill="FFFFFF"/>
              <w:spacing w:line="240" w:lineRule="auto"/>
              <w:jc w:val="both"/>
            </w:pPr>
            <w:r>
              <w:t xml:space="preserve">Mejorar la calidad de vida de la población de alta marginalidad económica y brindar así igualdad de oportunidades;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Elaborar diagnósticos socioeconómicos, para determinar el nivel de bienestar social de la población de las localidades que integran el municipio, para aplicar criterios de selección que de manera efectiva destinen los recursos de los diferentes programas de apoyos sociales (federales, estatales y municipales) a los sectores poblacionales en posición de mayor desventaja;</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Coadyuvar en la operación de los diversos programas de carácter federal y estatal, así como supervisar que los recursos económicos proporcionados a la población más desprotegida, se destine conforme a los lineamientos de cada programa. Así mismo, supervisar que los beneficiarios realicen trabajos comunitarios;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Generar proyectos que tiendan a combatir la pobreza, de acuerdo a los resultados obtenidos en otras regiones o países, pero siempre considerando las costumbres, cultura e idiosincrasia de los </w:t>
            </w:r>
            <w:proofErr w:type="spellStart"/>
            <w:r>
              <w:t>zitacuerenses</w:t>
            </w:r>
            <w:proofErr w:type="spellEnd"/>
            <w:r>
              <w:t>;</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Generar y/o apoyar la operación de programas de apoyo a la educación, realizando el seguimiento al destino de las becas otorgadas a los estudiantes, para la adquisición de uniformes escolares, calzado, útiles escolares, artículos de aseo personal, etc. Asimismo, verificar que los padres de familia de los becarios, realicen </w:t>
            </w:r>
            <w:r>
              <w:lastRenderedPageBreak/>
              <w:t xml:space="preserve">trabajos en beneficio de la población;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Operar y coadyuvar diversos programas de carácter social, supervisando que los beneficiarios inviertan los recursos económicos en la adquisición de fertilizantes, semillas, equipo de riego, en otros;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En coordinación con la Dirección de Desarrollo Rural Sustentable, apoyar proyectos productivos, para impulsar el desarrollo agropecuario del municipio, generando empleos permanentes;</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Gestionar ante la Dirección de Obras Públicas, obras que beneficien a la población rural en materia de educación, salud, capacitación, servicios públicos y deportes;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Gestionar ante la Dirección de Desarrollo Integral de la Familia y Salud, los apoyos de asistencia social, para beneficiar a la población rural del municipio;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Operar y ejecutar programas de apoyo a la vivienda de las zonas rurales;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Establecer y operar programas de apoyo a la juventud, que permitan su desarrollo y superación; XII. Instrumentar y llevar a cabo programas de apoyo para el desarrollo y superación de la mujer;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Supervisar que los beneficios de los programas se canalicen a los sectores de alta marginación o a los sectores donde han sido destinados;</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 xml:space="preserve">Coordinar actividades con el Consejo de Desarrollo Municipal; y, </w:t>
            </w:r>
          </w:p>
          <w:p w:rsidR="00D05EE3" w:rsidRPr="00CB2E84" w:rsidRDefault="00D05EE3" w:rsidP="00006205">
            <w:pPr>
              <w:pStyle w:val="Prrafodelista"/>
              <w:numPr>
                <w:ilvl w:val="0"/>
                <w:numId w:val="1"/>
              </w:numPr>
              <w:shd w:val="clear" w:color="auto" w:fill="FFFFFF"/>
              <w:spacing w:line="240" w:lineRule="auto"/>
              <w:jc w:val="both"/>
              <w:rPr>
                <w:rFonts w:ascii="Arial" w:hAnsi="Arial" w:cs="Arial"/>
                <w:sz w:val="16"/>
                <w:szCs w:val="16"/>
                <w:lang w:eastAsia="en-US"/>
              </w:rPr>
            </w:pPr>
            <w:r>
              <w:t>Las demás que le encomiende el Ayuntamiento, el Presidente Municipal, este Reglamento y otras disposiciones reglamentarias.</w:t>
            </w:r>
          </w:p>
        </w:tc>
        <w:tc>
          <w:tcPr>
            <w:tcW w:w="3902" w:type="dxa"/>
            <w:tcBorders>
              <w:top w:val="single" w:sz="4" w:space="0" w:color="auto"/>
              <w:left w:val="single" w:sz="4" w:space="0" w:color="auto"/>
              <w:bottom w:val="single" w:sz="4" w:space="0" w:color="auto"/>
              <w:right w:val="single" w:sz="4" w:space="0" w:color="auto"/>
            </w:tcBorders>
            <w:vAlign w:val="center"/>
          </w:tcPr>
          <w:p w:rsidR="00D05EE3" w:rsidRDefault="003F7E7F" w:rsidP="003F7E7F">
            <w:pPr>
              <w:jc w:val="center"/>
              <w:rPr>
                <w:rFonts w:ascii="Arial" w:hAnsi="Arial" w:cs="Arial"/>
                <w:sz w:val="16"/>
                <w:szCs w:val="16"/>
                <w:lang w:eastAsia="en-US"/>
              </w:rPr>
            </w:pPr>
            <w:hyperlink r:id="rId7" w:history="1">
              <w:r w:rsidR="00D05EE3" w:rsidRPr="003F7E7F">
                <w:rPr>
                  <w:rStyle w:val="Hipervnculo"/>
                  <w:rFonts w:cs="Arial"/>
                </w:rPr>
                <w:t>Reglamento de la Administración Pública de Zitácuaro</w:t>
              </w:r>
            </w:hyperlink>
            <w:bookmarkStart w:id="0" w:name="_GoBack"/>
            <w:bookmarkEnd w:id="0"/>
          </w:p>
        </w:tc>
      </w:tr>
    </w:tbl>
    <w:p w:rsidR="00D05EE3" w:rsidRDefault="00D05EE3" w:rsidP="00D05EE3">
      <w:pPr>
        <w:autoSpaceDE w:val="0"/>
        <w:autoSpaceDN w:val="0"/>
        <w:adjustRightInd w:val="0"/>
        <w:ind w:right="333"/>
        <w:rPr>
          <w:rFonts w:ascii="Arial" w:eastAsia="Times New Roman" w:hAnsi="Arial" w:cs="Arial"/>
          <w:b/>
          <w:bCs/>
          <w:sz w:val="24"/>
          <w:szCs w:val="24"/>
        </w:rPr>
      </w:pPr>
    </w:p>
    <w:p w:rsidR="00D05EE3" w:rsidRDefault="00D05EE3" w:rsidP="00D05EE3">
      <w:pPr>
        <w:spacing w:after="0"/>
        <w:rPr>
          <w:rFonts w:ascii="Arial" w:hAnsi="Arial" w:cs="Arial"/>
          <w:sz w:val="24"/>
          <w:szCs w:val="24"/>
        </w:rPr>
      </w:pPr>
    </w:p>
    <w:tbl>
      <w:tblPr>
        <w:tblpPr w:leftFromText="141" w:rightFromText="141" w:vertAnchor="text" w:horzAnchor="margin" w:tblpXSpec="center" w:tblpY="336"/>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3208"/>
        <w:gridCol w:w="3313"/>
      </w:tblGrid>
      <w:tr w:rsidR="00D05EE3" w:rsidRPr="00A325EF" w:rsidTr="00006205">
        <w:trPr>
          <w:trHeight w:val="413"/>
        </w:trPr>
        <w:tc>
          <w:tcPr>
            <w:tcW w:w="3375" w:type="dxa"/>
            <w:shd w:val="clear" w:color="auto" w:fill="BFBFBF"/>
            <w:vAlign w:val="center"/>
          </w:tcPr>
          <w:p w:rsidR="00D05EE3" w:rsidRPr="0045300E" w:rsidRDefault="00D05EE3" w:rsidP="00006205">
            <w:pPr>
              <w:spacing w:after="0" w:line="240" w:lineRule="auto"/>
              <w:jc w:val="center"/>
              <w:rPr>
                <w:rStyle w:val="tituloverde"/>
                <w:rFonts w:ascii="Arial" w:hAnsi="Arial" w:cs="Arial"/>
                <w:b/>
                <w:bCs/>
                <w:sz w:val="16"/>
                <w:szCs w:val="16"/>
              </w:rPr>
            </w:pPr>
            <w:r w:rsidRPr="0045300E">
              <w:rPr>
                <w:rStyle w:val="tituloverde"/>
                <w:rFonts w:ascii="Arial" w:hAnsi="Arial" w:cs="Arial"/>
                <w:b/>
                <w:bCs/>
                <w:sz w:val="16"/>
                <w:szCs w:val="16"/>
              </w:rPr>
              <w:t xml:space="preserve">Fecha de </w:t>
            </w:r>
            <w:r>
              <w:rPr>
                <w:rStyle w:val="tituloverde"/>
                <w:rFonts w:ascii="Arial" w:hAnsi="Arial" w:cs="Arial"/>
                <w:b/>
                <w:bCs/>
                <w:sz w:val="16"/>
                <w:szCs w:val="16"/>
              </w:rPr>
              <w:t xml:space="preserve">actualización </w:t>
            </w:r>
            <w:r w:rsidRPr="0045300E">
              <w:rPr>
                <w:rStyle w:val="tituloverde"/>
                <w:rFonts w:ascii="Arial" w:hAnsi="Arial" w:cs="Arial"/>
                <w:b/>
                <w:bCs/>
                <w:sz w:val="16"/>
                <w:szCs w:val="16"/>
              </w:rPr>
              <w:t xml:space="preserve">de </w:t>
            </w:r>
            <w:r>
              <w:rPr>
                <w:rStyle w:val="tituloverde"/>
                <w:rFonts w:ascii="Arial" w:hAnsi="Arial" w:cs="Arial"/>
                <w:b/>
                <w:bCs/>
                <w:sz w:val="16"/>
                <w:szCs w:val="16"/>
              </w:rPr>
              <w:t xml:space="preserve">la </w:t>
            </w:r>
            <w:r w:rsidRPr="0045300E">
              <w:rPr>
                <w:rStyle w:val="tituloverde"/>
                <w:rFonts w:ascii="Arial" w:hAnsi="Arial" w:cs="Arial"/>
                <w:b/>
                <w:bCs/>
                <w:sz w:val="16"/>
                <w:szCs w:val="16"/>
              </w:rPr>
              <w:t>información</w:t>
            </w:r>
          </w:p>
        </w:tc>
        <w:tc>
          <w:tcPr>
            <w:tcW w:w="3208" w:type="dxa"/>
            <w:shd w:val="clear" w:color="auto" w:fill="BFBFBF"/>
            <w:vAlign w:val="center"/>
          </w:tcPr>
          <w:p w:rsidR="00D05EE3" w:rsidRPr="0045300E" w:rsidRDefault="00D05EE3" w:rsidP="00006205">
            <w:pPr>
              <w:spacing w:after="0" w:line="240" w:lineRule="auto"/>
              <w:jc w:val="center"/>
              <w:rPr>
                <w:rStyle w:val="tituloverde"/>
                <w:rFonts w:ascii="Arial" w:hAnsi="Arial" w:cs="Arial"/>
                <w:b/>
                <w:bCs/>
                <w:sz w:val="16"/>
                <w:szCs w:val="16"/>
              </w:rPr>
            </w:pPr>
            <w:r w:rsidRPr="0045300E">
              <w:rPr>
                <w:rStyle w:val="tituloverde"/>
                <w:rFonts w:ascii="Arial" w:hAnsi="Arial" w:cs="Arial"/>
                <w:b/>
                <w:bCs/>
                <w:sz w:val="16"/>
                <w:szCs w:val="16"/>
              </w:rPr>
              <w:t>Área productora de información</w:t>
            </w:r>
          </w:p>
        </w:tc>
        <w:tc>
          <w:tcPr>
            <w:tcW w:w="3313" w:type="dxa"/>
            <w:shd w:val="clear" w:color="auto" w:fill="BFBFBF"/>
            <w:vAlign w:val="center"/>
          </w:tcPr>
          <w:p w:rsidR="00D05EE3" w:rsidRPr="0045300E" w:rsidRDefault="00D05EE3" w:rsidP="00006205">
            <w:pPr>
              <w:spacing w:after="0" w:line="240" w:lineRule="auto"/>
              <w:jc w:val="center"/>
              <w:rPr>
                <w:rStyle w:val="tituloverde"/>
                <w:rFonts w:ascii="Arial" w:hAnsi="Arial" w:cs="Arial"/>
                <w:b/>
                <w:bCs/>
                <w:sz w:val="16"/>
                <w:szCs w:val="16"/>
              </w:rPr>
            </w:pPr>
            <w:r w:rsidRPr="0045300E">
              <w:rPr>
                <w:rStyle w:val="tituloverde"/>
                <w:rFonts w:ascii="Arial" w:hAnsi="Arial" w:cs="Arial"/>
                <w:b/>
                <w:bCs/>
                <w:sz w:val="16"/>
                <w:szCs w:val="16"/>
              </w:rPr>
              <w:t>Responsable de acceso a la información pública</w:t>
            </w:r>
          </w:p>
        </w:tc>
      </w:tr>
      <w:tr w:rsidR="00D05EE3" w:rsidRPr="00A325EF" w:rsidTr="00006205">
        <w:trPr>
          <w:trHeight w:val="527"/>
        </w:trPr>
        <w:tc>
          <w:tcPr>
            <w:tcW w:w="3375" w:type="dxa"/>
            <w:vAlign w:val="center"/>
          </w:tcPr>
          <w:p w:rsidR="00D05EE3" w:rsidRDefault="00D05EE3" w:rsidP="00006205">
            <w:pPr>
              <w:spacing w:after="0" w:line="240" w:lineRule="auto"/>
              <w:jc w:val="center"/>
              <w:rPr>
                <w:rStyle w:val="tituloverde"/>
                <w:rFonts w:ascii="Arial" w:hAnsi="Arial" w:cs="Arial"/>
                <w:bCs/>
                <w:sz w:val="16"/>
                <w:szCs w:val="16"/>
              </w:rPr>
            </w:pPr>
            <w:r>
              <w:rPr>
                <w:rStyle w:val="tituloverde"/>
                <w:rFonts w:ascii="Arial" w:hAnsi="Arial" w:cs="Arial"/>
                <w:bCs/>
                <w:sz w:val="16"/>
                <w:szCs w:val="16"/>
                <w:lang w:eastAsia="en-US"/>
              </w:rPr>
              <w:t>31 DE MAYO DE</w:t>
            </w:r>
            <w:r w:rsidR="0044662F">
              <w:rPr>
                <w:rStyle w:val="tituloverde"/>
                <w:rFonts w:ascii="Arial" w:hAnsi="Arial" w:cs="Arial"/>
                <w:bCs/>
                <w:sz w:val="16"/>
                <w:szCs w:val="16"/>
                <w:lang w:eastAsia="en-US"/>
              </w:rPr>
              <w:t xml:space="preserve"> </w:t>
            </w:r>
            <w:r>
              <w:rPr>
                <w:rStyle w:val="tituloverde"/>
                <w:rFonts w:ascii="Arial" w:hAnsi="Arial" w:cs="Arial"/>
                <w:bCs/>
                <w:sz w:val="16"/>
                <w:szCs w:val="16"/>
                <w:lang w:eastAsia="en-US"/>
              </w:rPr>
              <w:t>2016</w:t>
            </w:r>
          </w:p>
          <w:p w:rsidR="00D05EE3" w:rsidRDefault="00D05EE3" w:rsidP="00006205">
            <w:pPr>
              <w:spacing w:after="0" w:line="240" w:lineRule="auto"/>
              <w:jc w:val="center"/>
              <w:rPr>
                <w:rStyle w:val="tituloverde"/>
                <w:rFonts w:ascii="Arial" w:hAnsi="Arial" w:cs="Arial"/>
                <w:bCs/>
                <w:sz w:val="16"/>
                <w:szCs w:val="16"/>
                <w:lang w:eastAsia="en-US"/>
              </w:rPr>
            </w:pPr>
          </w:p>
        </w:tc>
        <w:tc>
          <w:tcPr>
            <w:tcW w:w="3208" w:type="dxa"/>
            <w:vAlign w:val="center"/>
          </w:tcPr>
          <w:p w:rsidR="00D05EE3" w:rsidRDefault="00D05EE3" w:rsidP="00006205">
            <w:pPr>
              <w:spacing w:after="0" w:line="240" w:lineRule="auto"/>
              <w:jc w:val="center"/>
              <w:rPr>
                <w:rStyle w:val="tituloverde"/>
                <w:rFonts w:ascii="Arial" w:hAnsi="Arial" w:cs="Arial"/>
                <w:bCs/>
                <w:sz w:val="16"/>
                <w:szCs w:val="16"/>
              </w:rPr>
            </w:pPr>
            <w:r>
              <w:rPr>
                <w:rStyle w:val="tituloverde"/>
                <w:rFonts w:ascii="Arial" w:hAnsi="Arial" w:cs="Arial"/>
                <w:bCs/>
                <w:sz w:val="16"/>
                <w:szCs w:val="16"/>
                <w:lang w:eastAsia="en-US"/>
              </w:rPr>
              <w:t>DESARROLLO SOCIAL</w:t>
            </w:r>
          </w:p>
        </w:tc>
        <w:tc>
          <w:tcPr>
            <w:tcW w:w="3313" w:type="dxa"/>
            <w:vAlign w:val="center"/>
          </w:tcPr>
          <w:p w:rsidR="00D05EE3" w:rsidRPr="0045300E" w:rsidRDefault="00D05EE3" w:rsidP="00006205">
            <w:pPr>
              <w:spacing w:after="0" w:line="240" w:lineRule="auto"/>
              <w:jc w:val="center"/>
              <w:rPr>
                <w:rStyle w:val="tituloverde"/>
                <w:rFonts w:ascii="Arial" w:hAnsi="Arial" w:cs="Arial"/>
                <w:bCs/>
                <w:sz w:val="16"/>
                <w:szCs w:val="16"/>
              </w:rPr>
            </w:pPr>
            <w:r>
              <w:rPr>
                <w:color w:val="000000"/>
                <w:sz w:val="16"/>
                <w:szCs w:val="16"/>
              </w:rPr>
              <w:t>C. HECTOR ALEJANDRO ANGUIANO JAIMES ENCARGADO DE LA UNIDAD DE INFORMACIÓN</w:t>
            </w:r>
          </w:p>
        </w:tc>
      </w:tr>
    </w:tbl>
    <w:p w:rsidR="00D05EE3" w:rsidRDefault="00D05EE3" w:rsidP="00D05EE3">
      <w:pPr>
        <w:jc w:val="both"/>
        <w:rPr>
          <w:rFonts w:ascii="Arial" w:hAnsi="Arial" w:cs="Arial"/>
          <w:sz w:val="24"/>
          <w:szCs w:val="24"/>
        </w:rPr>
      </w:pPr>
    </w:p>
    <w:p w:rsidR="00D05EE3" w:rsidRPr="005829EE" w:rsidRDefault="00D05EE3" w:rsidP="00D05EE3">
      <w:pPr>
        <w:ind w:left="-142"/>
        <w:jc w:val="both"/>
        <w:rPr>
          <w:rFonts w:ascii="Arial" w:hAnsi="Arial" w:cs="Arial"/>
          <w:sz w:val="16"/>
          <w:szCs w:val="16"/>
        </w:rPr>
      </w:pPr>
    </w:p>
    <w:p w:rsidR="00D05EE3" w:rsidRPr="005829EE" w:rsidRDefault="00D05EE3" w:rsidP="00D05EE3">
      <w:pPr>
        <w:widowControl w:val="0"/>
        <w:autoSpaceDE w:val="0"/>
        <w:autoSpaceDN w:val="0"/>
        <w:adjustRightInd w:val="0"/>
        <w:spacing w:after="0" w:line="240" w:lineRule="auto"/>
        <w:ind w:right="85"/>
        <w:jc w:val="both"/>
        <w:rPr>
          <w:rFonts w:ascii="Arial" w:hAnsi="Arial" w:cs="Arial"/>
          <w:color w:val="282525"/>
          <w:spacing w:val="-1"/>
          <w:sz w:val="16"/>
          <w:szCs w:val="16"/>
        </w:rPr>
      </w:pPr>
    </w:p>
    <w:p w:rsidR="00D05EE3" w:rsidRDefault="00D05EE3" w:rsidP="00D05EE3">
      <w:pPr>
        <w:widowControl w:val="0"/>
        <w:autoSpaceDE w:val="0"/>
        <w:autoSpaceDN w:val="0"/>
        <w:adjustRightInd w:val="0"/>
        <w:spacing w:after="0" w:line="240" w:lineRule="auto"/>
        <w:ind w:right="85"/>
        <w:jc w:val="both"/>
        <w:rPr>
          <w:rFonts w:ascii="Arial" w:hAnsi="Arial" w:cs="Arial"/>
          <w:color w:val="282525"/>
          <w:spacing w:val="-1"/>
          <w:sz w:val="24"/>
          <w:szCs w:val="24"/>
        </w:rPr>
      </w:pPr>
    </w:p>
    <w:p w:rsidR="00D05EE3" w:rsidRPr="00CB2E84" w:rsidRDefault="00D05EE3" w:rsidP="00D05EE3">
      <w:pPr>
        <w:pStyle w:val="Encabezado"/>
        <w:rPr>
          <w:sz w:val="24"/>
        </w:rPr>
      </w:pPr>
    </w:p>
    <w:sectPr w:rsidR="00D05EE3" w:rsidRPr="00CB2E84" w:rsidSect="006870C6">
      <w:headerReference w:type="default" r:id="rId8"/>
      <w:pgSz w:w="20160" w:h="12240" w:orient="landscape" w:code="120"/>
      <w:pgMar w:top="5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97" w:rsidRDefault="00CE6997">
      <w:pPr>
        <w:spacing w:after="0" w:line="240" w:lineRule="auto"/>
      </w:pPr>
      <w:r>
        <w:separator/>
      </w:r>
    </w:p>
  </w:endnote>
  <w:endnote w:type="continuationSeparator" w:id="0">
    <w:p w:rsidR="00CE6997" w:rsidRDefault="00C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97" w:rsidRDefault="00CE6997">
      <w:pPr>
        <w:spacing w:after="0" w:line="240" w:lineRule="auto"/>
      </w:pPr>
      <w:r>
        <w:separator/>
      </w:r>
    </w:p>
  </w:footnote>
  <w:footnote w:type="continuationSeparator" w:id="0">
    <w:p w:rsidR="00CE6997" w:rsidRDefault="00CE6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336819"/>
      <w:docPartObj>
        <w:docPartGallery w:val="Page Numbers (Top of Page)"/>
        <w:docPartUnique/>
      </w:docPartObj>
    </w:sdtPr>
    <w:sdtEndPr/>
    <w:sdtContent>
      <w:p w:rsidR="0087192B" w:rsidRDefault="00D05EE3" w:rsidP="004137FF">
        <w:pPr>
          <w:pStyle w:val="Encabezado"/>
          <w:jc w:val="right"/>
        </w:pPr>
        <w:r>
          <w:rPr>
            <w:noProof/>
          </w:rPr>
          <w:drawing>
            <wp:anchor distT="0" distB="0" distL="114300" distR="114300" simplePos="0" relativeHeight="251659264" behindDoc="0" locked="0" layoutInCell="1" allowOverlap="1" wp14:anchorId="79D0EF32" wp14:editId="5F755902">
              <wp:simplePos x="0" y="0"/>
              <wp:positionH relativeFrom="column">
                <wp:posOffset>92075</wp:posOffset>
              </wp:positionH>
              <wp:positionV relativeFrom="paragraph">
                <wp:posOffset>-35560</wp:posOffset>
              </wp:positionV>
              <wp:extent cx="828675" cy="1009650"/>
              <wp:effectExtent l="0" t="0" r="9525" b="0"/>
              <wp:wrapNone/>
              <wp:docPr id="2" name="Imagen 2" descr="escudozi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zi_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3E487B4" wp14:editId="6136E665">
              <wp:simplePos x="0" y="0"/>
              <wp:positionH relativeFrom="margin">
                <wp:posOffset>9716827</wp:posOffset>
              </wp:positionH>
              <wp:positionV relativeFrom="paragraph">
                <wp:posOffset>133350</wp:posOffset>
              </wp:positionV>
              <wp:extent cx="1357630" cy="904875"/>
              <wp:effectExtent l="0" t="0" r="0" b="9525"/>
              <wp:wrapNone/>
              <wp:docPr id="1" name="Imagen 1" descr="logo_ayu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yuntamien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763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t xml:space="preserve"> </w:t>
        </w:r>
      </w:p>
      <w:p w:rsidR="0087192B" w:rsidRDefault="00CE6997" w:rsidP="0087192B">
        <w:pPr>
          <w:pStyle w:val="Encabezado"/>
          <w:jc w:val="right"/>
        </w:pPr>
      </w:p>
    </w:sdtContent>
  </w:sdt>
  <w:p w:rsidR="0087192B" w:rsidRDefault="00CE6997">
    <w:pPr>
      <w:pStyle w:val="Encabezado"/>
    </w:pPr>
  </w:p>
  <w:p w:rsidR="00CB2E84" w:rsidRDefault="00CE6997">
    <w:pPr>
      <w:pStyle w:val="Encabezado"/>
    </w:pPr>
  </w:p>
  <w:p w:rsidR="00CB2E84" w:rsidRDefault="00CE6997">
    <w:pPr>
      <w:pStyle w:val="Encabezado"/>
    </w:pPr>
  </w:p>
  <w:p w:rsidR="00CB2E84" w:rsidRDefault="00CE6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A4F75"/>
    <w:multiLevelType w:val="hybridMultilevel"/>
    <w:tmpl w:val="B8AAF678"/>
    <w:lvl w:ilvl="0" w:tplc="5A7826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E3"/>
    <w:rsid w:val="00046749"/>
    <w:rsid w:val="003F7E7F"/>
    <w:rsid w:val="0044662F"/>
    <w:rsid w:val="005605D3"/>
    <w:rsid w:val="006870C6"/>
    <w:rsid w:val="007F4D79"/>
    <w:rsid w:val="00847FB3"/>
    <w:rsid w:val="00CE6997"/>
    <w:rsid w:val="00D05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9EB4B-7E4D-406B-8CA8-033746EE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E3"/>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verde">
    <w:name w:val="tituloverde"/>
    <w:basedOn w:val="Fuentedeprrafopredeter"/>
    <w:uiPriority w:val="99"/>
    <w:rsid w:val="00D05EE3"/>
  </w:style>
  <w:style w:type="paragraph" w:styleId="Encabezado">
    <w:name w:val="header"/>
    <w:basedOn w:val="Normal"/>
    <w:link w:val="EncabezadoCar"/>
    <w:uiPriority w:val="99"/>
    <w:unhideWhenUsed/>
    <w:rsid w:val="00D05E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EE3"/>
    <w:rPr>
      <w:rFonts w:eastAsiaTheme="minorEastAsia"/>
      <w:lang w:val="es-MX" w:eastAsia="es-MX"/>
    </w:rPr>
  </w:style>
  <w:style w:type="paragraph" w:styleId="NormalWeb">
    <w:name w:val="Normal (Web)"/>
    <w:basedOn w:val="Normal"/>
    <w:uiPriority w:val="99"/>
    <w:semiHidden/>
    <w:unhideWhenUsed/>
    <w:rsid w:val="00D05EE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05EE3"/>
    <w:rPr>
      <w:color w:val="0000FF" w:themeColor="hyperlink"/>
      <w:u w:val="single"/>
    </w:rPr>
  </w:style>
  <w:style w:type="paragraph" w:styleId="Prrafodelista">
    <w:name w:val="List Paragraph"/>
    <w:basedOn w:val="Normal"/>
    <w:uiPriority w:val="34"/>
    <w:qFormat/>
    <w:rsid w:val="00D05EE3"/>
    <w:pPr>
      <w:ind w:left="720"/>
      <w:contextualSpacing/>
    </w:pPr>
  </w:style>
  <w:style w:type="paragraph" w:styleId="Textodeglobo">
    <w:name w:val="Balloon Text"/>
    <w:basedOn w:val="Normal"/>
    <w:link w:val="TextodegloboCar"/>
    <w:uiPriority w:val="99"/>
    <w:semiHidden/>
    <w:unhideWhenUsed/>
    <w:rsid w:val="00687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0C6"/>
    <w:rPr>
      <w:rFonts w:ascii="Segoe UI" w:eastAsiaTheme="minorEastAsia"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itacuaro.gob.mx/2015_2018/?seccion=pdfs&amp;titulo=Normatividad%20y%20Marco%20Jur%C3%ADdico&amp;url=http://www.zitacuaro.gob.mx/2012_2015/2012/gobierno/transparencia/IV/leyes/reg_adminpub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dc:creator>
  <cp:keywords/>
  <dc:description/>
  <cp:lastModifiedBy>I.S.C. Roberto Alvarado Sabino</cp:lastModifiedBy>
  <cp:revision>6</cp:revision>
  <cp:lastPrinted>2016-06-02T17:23:00Z</cp:lastPrinted>
  <dcterms:created xsi:type="dcterms:W3CDTF">2016-06-01T13:22:00Z</dcterms:created>
  <dcterms:modified xsi:type="dcterms:W3CDTF">2016-06-02T17:26:00Z</dcterms:modified>
</cp:coreProperties>
</file>