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21"/>
        <w:tblW w:w="87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56"/>
        <w:gridCol w:w="4356"/>
      </w:tblGrid>
      <w:tr w:rsidR="00EF7934" w:rsidRPr="00551390" w:rsidTr="00EF7934">
        <w:trPr>
          <w:trHeight w:val="144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Preguntas / apartados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Consideraciones</w:t>
            </w:r>
          </w:p>
        </w:tc>
      </w:tr>
      <w:tr w:rsidR="00EF7934" w:rsidRPr="00551390" w:rsidTr="00EF7934">
        <w:trPr>
          <w:trHeight w:val="144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 w:rsidRPr="00551390">
              <w:t>¿Qué es la Ley de Ingresos y cuál es su importancia?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>
              <w:t>Documento jurídico aprobado por el Congreso del Estado a iniciativa Municipio, en el cual se consigna el importe del Ingreso de acuerdo con su naturaleza y cuantía, que debe captar el gobierno municipal en el desempeño de sus funciones en cada ejercicio fiscal.</w:t>
            </w:r>
          </w:p>
        </w:tc>
      </w:tr>
      <w:tr w:rsidR="00EF7934" w:rsidRPr="00551390" w:rsidTr="00EF7934">
        <w:trPr>
          <w:trHeight w:val="144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 w:rsidRPr="00551390">
              <w:t>¿De dónde obtienen los gobiernos sus ingresos?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>Impuestos.</w:t>
            </w:r>
          </w:p>
          <w:p w:rsidR="00EF7934" w:rsidRDefault="00EF7934" w:rsidP="00EF7934">
            <w:pPr>
              <w:pStyle w:val="Texto"/>
              <w:spacing w:before="60" w:after="60" w:line="250" w:lineRule="exact"/>
              <w:ind w:left="360" w:firstLine="0"/>
            </w:pPr>
            <w:r>
              <w:sym w:font="Symbol" w:char="F0B7"/>
            </w:r>
            <w:r>
              <w:t xml:space="preserve"> Derechos. </w:t>
            </w:r>
          </w:p>
          <w:p w:rsidR="00EF7934" w:rsidRDefault="00EF7934" w:rsidP="00EF7934">
            <w:pPr>
              <w:pStyle w:val="Texto"/>
              <w:spacing w:before="60" w:after="60" w:line="250" w:lineRule="exact"/>
              <w:ind w:left="360" w:firstLine="0"/>
            </w:pPr>
            <w:r>
              <w:sym w:font="Symbol" w:char="F0B7"/>
            </w:r>
            <w:r>
              <w:t xml:space="preserve">Productos. </w:t>
            </w:r>
          </w:p>
          <w:p w:rsidR="00EF7934" w:rsidRDefault="00EF7934" w:rsidP="00EF7934">
            <w:pPr>
              <w:pStyle w:val="Texto"/>
              <w:spacing w:before="60" w:after="60" w:line="250" w:lineRule="exact"/>
              <w:ind w:left="360" w:firstLine="0"/>
            </w:pPr>
            <w:r>
              <w:sym w:font="Symbol" w:char="F0B7"/>
            </w:r>
            <w:r>
              <w:t xml:space="preserve"> Aprovechamientos. </w:t>
            </w:r>
          </w:p>
          <w:p w:rsidR="00EF7934" w:rsidRDefault="00EF7934" w:rsidP="00EF7934">
            <w:pPr>
              <w:pStyle w:val="Texto"/>
              <w:spacing w:before="60" w:after="60" w:line="250" w:lineRule="exact"/>
              <w:ind w:left="360" w:firstLine="0"/>
            </w:pPr>
            <w:r>
              <w:sym w:font="Symbol" w:char="F0B7"/>
            </w:r>
            <w:r>
              <w:t xml:space="preserve"> Contribuciones no comprendidas en las fracciones de la Ley de Ingresos causados en ejercicios fiscales anteriores pendientes de liquidación o pago. </w:t>
            </w:r>
          </w:p>
          <w:p w:rsidR="00EF7934" w:rsidRDefault="00EF7934" w:rsidP="00EF7934">
            <w:pPr>
              <w:pStyle w:val="Texto"/>
              <w:spacing w:before="60" w:after="60" w:line="250" w:lineRule="exact"/>
              <w:ind w:left="360" w:firstLine="0"/>
            </w:pPr>
            <w:r>
              <w:sym w:font="Symbol" w:char="F0B7"/>
            </w:r>
            <w:r>
              <w:t xml:space="preserve"> Participaciones, aportaciones, transferencias, asignaciones, subsidios y otras ayudas. </w:t>
            </w:r>
          </w:p>
          <w:p w:rsidR="00EF7934" w:rsidRPr="00551390" w:rsidRDefault="00EF7934" w:rsidP="00EF7934">
            <w:pPr>
              <w:pStyle w:val="Texto"/>
              <w:spacing w:before="60" w:after="60" w:line="250" w:lineRule="exact"/>
              <w:ind w:left="360" w:firstLine="0"/>
            </w:pPr>
            <w:r>
              <w:sym w:font="Symbol" w:char="F0B7"/>
            </w:r>
            <w:r>
              <w:t xml:space="preserve"> Otros ingresos</w:t>
            </w:r>
            <w:proofErr w:type="gramStart"/>
            <w:r>
              <w:t>.</w:t>
            </w:r>
            <w:r w:rsidRPr="00551390">
              <w:t>.</w:t>
            </w:r>
            <w:proofErr w:type="gramEnd"/>
          </w:p>
        </w:tc>
      </w:tr>
      <w:tr w:rsidR="00EF7934" w:rsidRPr="00551390" w:rsidTr="00EF7934">
        <w:trPr>
          <w:trHeight w:val="144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 w:rsidRPr="00551390">
              <w:t>¿Qué es el Presupuesto de Egresos y cuál es su importancia?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>
              <w:t>El Presupuesto de Egresos especifica el monto y destino de los recursos económicos que el Gobierno requiere durante un ejercicio fiscal, es decir, un año, para obtener los resultados comprometidos y demandados por los diversos sectores de la sociedad.</w:t>
            </w:r>
          </w:p>
        </w:tc>
      </w:tr>
      <w:tr w:rsidR="00EF7934" w:rsidRPr="00551390" w:rsidTr="00EF7934">
        <w:trPr>
          <w:trHeight w:val="144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 w:rsidRPr="00551390">
              <w:t>¿En qué se gasta?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Default="00EF7934" w:rsidP="00EF7934">
            <w:pPr>
              <w:pStyle w:val="Texto"/>
              <w:spacing w:before="60" w:after="60" w:line="250" w:lineRule="exact"/>
              <w:ind w:firstLine="0"/>
            </w:pPr>
            <w:r>
              <w:t xml:space="preserve">Se gasta en 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>Servicios Personales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>Materiales y Suministros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>Servicios Generales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>Transferencias, Asignaciones, Subsidios y Otras Ayudas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 xml:space="preserve">Bienes Muebles, Inmuebles e Intangibles 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 xml:space="preserve"> Inversión Pública 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>Inversiones Financieras y Otras Provisiones</w:t>
            </w:r>
          </w:p>
          <w:p w:rsidR="00EF7934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 xml:space="preserve">Participaciones y Aportaciones </w:t>
            </w:r>
          </w:p>
          <w:p w:rsidR="00EF7934" w:rsidRPr="00551390" w:rsidRDefault="00EF7934" w:rsidP="00EF7934">
            <w:pPr>
              <w:pStyle w:val="Texto"/>
              <w:numPr>
                <w:ilvl w:val="0"/>
                <w:numId w:val="1"/>
              </w:numPr>
              <w:spacing w:before="60" w:after="60" w:line="250" w:lineRule="exact"/>
            </w:pPr>
            <w:r>
              <w:t>Deuda Pública</w:t>
            </w:r>
          </w:p>
        </w:tc>
      </w:tr>
      <w:tr w:rsidR="00EF7934" w:rsidRPr="00551390" w:rsidTr="00EF7934">
        <w:trPr>
          <w:trHeight w:val="144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 w:rsidRPr="00551390">
              <w:t>¿Para qué se gasta?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 w:rsidRPr="00551390">
              <w:t>Desarrollo económico, social y gobierno.</w:t>
            </w:r>
          </w:p>
        </w:tc>
      </w:tr>
      <w:tr w:rsidR="00EF7934" w:rsidRPr="00551390" w:rsidTr="00EF7934">
        <w:trPr>
          <w:trHeight w:val="144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 w:rsidRPr="00551390">
              <w:t>¿Qué pueden hacer los ciudadanos?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EF7934">
            <w:pPr>
              <w:pStyle w:val="Texto"/>
              <w:spacing w:before="60" w:after="60" w:line="250" w:lineRule="exact"/>
              <w:ind w:firstLine="0"/>
            </w:pPr>
            <w:r>
              <w:t>A la ciudadanía le corresponde vigilar por medio de las Contralorías Sociales que los recursos sean aplicados correctamente en las obras y acciones que se les brinda así como no permitir anomalías por servidores públicos</w:t>
            </w:r>
          </w:p>
        </w:tc>
      </w:tr>
    </w:tbl>
    <w:p w:rsidR="00EF7934" w:rsidRDefault="00EF7934" w:rsidP="00EF7934">
      <w:pPr>
        <w:rPr>
          <w:rFonts w:ascii="Helvetica" w:hAnsi="Helvetica"/>
          <w:color w:val="545454"/>
          <w:sz w:val="27"/>
          <w:szCs w:val="27"/>
          <w:shd w:val="clear" w:color="auto" w:fill="F6F6F6"/>
        </w:rPr>
      </w:pPr>
      <w:r>
        <w:rPr>
          <w:rFonts w:ascii="Helvetica" w:hAnsi="Helvetica"/>
          <w:color w:val="545454"/>
          <w:sz w:val="27"/>
          <w:szCs w:val="27"/>
          <w:shd w:val="clear" w:color="auto" w:fill="F6F6F6"/>
        </w:rPr>
        <w:t>Norma para la difusión a la ciudadanía de la Ley de Ingresos y del Presupuesto de Egresos</w:t>
      </w:r>
      <w:r>
        <w:rPr>
          <w:rFonts w:ascii="Helvetica" w:hAnsi="Helvetica"/>
          <w:color w:val="545454"/>
          <w:sz w:val="27"/>
          <w:szCs w:val="27"/>
          <w:shd w:val="clear" w:color="auto" w:fill="F6F6F6"/>
        </w:rPr>
        <w:t xml:space="preserve"> </w:t>
      </w:r>
    </w:p>
    <w:p w:rsidR="00C93EA2" w:rsidRDefault="00EF7934" w:rsidP="00EF7934">
      <w:r>
        <w:rPr>
          <w:rFonts w:ascii="Helvetica" w:hAnsi="Helvetica"/>
          <w:color w:val="545454"/>
          <w:sz w:val="27"/>
          <w:szCs w:val="27"/>
          <w:shd w:val="clear" w:color="auto" w:fill="F6F6F6"/>
        </w:rPr>
        <w:br/>
      </w:r>
      <w:r>
        <w:t>Municipio de Zitácuaro , Michoacán.</w:t>
      </w:r>
      <w:r>
        <w:tab/>
      </w:r>
      <w:r>
        <w:tab/>
      </w:r>
      <w:bookmarkStart w:id="0" w:name="_GoBack"/>
      <w:bookmarkEnd w:id="0"/>
      <w:r>
        <w:tab/>
        <w:t>EJERCICIO FISCAL 2018</w:t>
      </w:r>
    </w:p>
    <w:tbl>
      <w:tblPr>
        <w:tblW w:w="8712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28"/>
        <w:gridCol w:w="2184"/>
      </w:tblGrid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 w:rsidRPr="00551390">
              <w:rPr>
                <w:szCs w:val="18"/>
              </w:rPr>
              <w:lastRenderedPageBreak/>
              <w:t>Origen de los Ingresos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 w:rsidRPr="00551390">
              <w:rPr>
                <w:szCs w:val="18"/>
              </w:rPr>
              <w:t>Importe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 w:rsidRPr="00551390">
              <w:rPr>
                <w:szCs w:val="18"/>
              </w:rPr>
              <w:t>Total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Impuestos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 w:rsidRPr="007B684D">
              <w:rPr>
                <w:szCs w:val="16"/>
              </w:rPr>
              <w:t>23</w:t>
            </w:r>
            <w:r>
              <w:rPr>
                <w:szCs w:val="16"/>
              </w:rPr>
              <w:t>´</w:t>
            </w:r>
            <w:r w:rsidRPr="007B684D">
              <w:rPr>
                <w:szCs w:val="16"/>
              </w:rPr>
              <w:t>192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848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Cuotas y Aportaciones de Seguridad Social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Contribuciones de Mejoras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 w:rsidRPr="007B684D">
              <w:rPr>
                <w:szCs w:val="16"/>
              </w:rPr>
              <w:t>5</w:t>
            </w:r>
            <w:r>
              <w:rPr>
                <w:szCs w:val="16"/>
              </w:rPr>
              <w:t>´</w:t>
            </w:r>
            <w:r w:rsidRPr="007B684D">
              <w:rPr>
                <w:szCs w:val="16"/>
              </w:rPr>
              <w:t>134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229</w:t>
            </w:r>
            <w:r>
              <w:rPr>
                <w:szCs w:val="16"/>
              </w:rPr>
              <w:t>.00</w:t>
            </w:r>
          </w:p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Derechos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 w:rsidRPr="007B684D">
              <w:rPr>
                <w:szCs w:val="16"/>
              </w:rPr>
              <w:t>20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064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396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Productos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 w:rsidRPr="007B684D">
              <w:rPr>
                <w:szCs w:val="16"/>
              </w:rPr>
              <w:t>1</w:t>
            </w:r>
            <w:r>
              <w:rPr>
                <w:szCs w:val="16"/>
              </w:rPr>
              <w:t>´</w:t>
            </w:r>
            <w:r w:rsidRPr="007B684D">
              <w:rPr>
                <w:szCs w:val="16"/>
              </w:rPr>
              <w:t>486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913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Aprovechamientos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 w:rsidRPr="007B684D">
              <w:rPr>
                <w:szCs w:val="16"/>
              </w:rPr>
              <w:t>6</w:t>
            </w:r>
            <w:r>
              <w:rPr>
                <w:szCs w:val="16"/>
              </w:rPr>
              <w:t>´</w:t>
            </w:r>
            <w:r w:rsidRPr="007B684D">
              <w:rPr>
                <w:szCs w:val="16"/>
              </w:rPr>
              <w:t>077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752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Ingresos por Venta de Bienes, Prestación de Servicios y Otros Ingresos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 w:rsidRPr="007B684D">
              <w:rPr>
                <w:szCs w:val="16"/>
              </w:rPr>
              <w:t>72</w:t>
            </w:r>
            <w:r>
              <w:rPr>
                <w:szCs w:val="16"/>
              </w:rPr>
              <w:t>´</w:t>
            </w:r>
            <w:r w:rsidRPr="007B684D">
              <w:rPr>
                <w:szCs w:val="16"/>
              </w:rPr>
              <w:t>370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966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 w:rsidRPr="007B684D">
              <w:rPr>
                <w:szCs w:val="16"/>
              </w:rPr>
              <w:t>162</w:t>
            </w:r>
            <w:r>
              <w:rPr>
                <w:szCs w:val="16"/>
              </w:rPr>
              <w:t>´</w:t>
            </w:r>
            <w:r w:rsidRPr="007B684D">
              <w:rPr>
                <w:szCs w:val="16"/>
              </w:rPr>
              <w:t>211</w:t>
            </w:r>
            <w:r>
              <w:rPr>
                <w:szCs w:val="16"/>
              </w:rPr>
              <w:t>,</w:t>
            </w:r>
            <w:r w:rsidRPr="007B684D">
              <w:rPr>
                <w:szCs w:val="16"/>
              </w:rPr>
              <w:t>730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Transferencias, Asignaciones, Subsidios y Subvenciones, y Pensiones y Jubilaciones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Ingresos Derivados de Financiamientos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</w:p>
        </w:tc>
      </w:tr>
    </w:tbl>
    <w:p w:rsidR="00EF7934" w:rsidRDefault="00EF7934" w:rsidP="00EF7934"/>
    <w:p w:rsidR="00EF7934" w:rsidRDefault="00EF7934" w:rsidP="00EF7934"/>
    <w:p w:rsidR="00EF7934" w:rsidRDefault="00EF7934" w:rsidP="00EF7934"/>
    <w:tbl>
      <w:tblPr>
        <w:tblW w:w="8712" w:type="dxa"/>
        <w:jc w:val="center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2186"/>
      </w:tblGrid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 w:rsidRPr="00551390">
              <w:rPr>
                <w:szCs w:val="16"/>
              </w:rPr>
              <w:t>¿En qué se gasta?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 w:rsidRPr="00551390">
              <w:rPr>
                <w:szCs w:val="16"/>
              </w:rPr>
              <w:t>Importe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 w:rsidRPr="00551390">
              <w:rPr>
                <w:szCs w:val="16"/>
              </w:rPr>
              <w:t>Total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Servicios Personales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 w:rsidRPr="00E34274">
              <w:rPr>
                <w:szCs w:val="16"/>
              </w:rPr>
              <w:t>186</w:t>
            </w:r>
            <w:r>
              <w:rPr>
                <w:szCs w:val="16"/>
              </w:rPr>
              <w:t>´</w:t>
            </w:r>
            <w:r w:rsidRPr="00E34274">
              <w:rPr>
                <w:szCs w:val="16"/>
              </w:rPr>
              <w:t>415</w:t>
            </w:r>
            <w:r>
              <w:rPr>
                <w:szCs w:val="16"/>
              </w:rPr>
              <w:t>,</w:t>
            </w:r>
            <w:r w:rsidRPr="00E34274">
              <w:rPr>
                <w:szCs w:val="16"/>
              </w:rPr>
              <w:t>159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Materiales y Suministros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 w:rsidRPr="00E34274">
              <w:rPr>
                <w:szCs w:val="16"/>
              </w:rPr>
              <w:t>47</w:t>
            </w:r>
            <w:r>
              <w:rPr>
                <w:szCs w:val="16"/>
              </w:rPr>
              <w:t>´</w:t>
            </w:r>
            <w:r w:rsidRPr="00E34274">
              <w:rPr>
                <w:szCs w:val="16"/>
              </w:rPr>
              <w:t>913</w:t>
            </w:r>
            <w:r>
              <w:rPr>
                <w:szCs w:val="16"/>
              </w:rPr>
              <w:t>,</w:t>
            </w:r>
            <w:r w:rsidRPr="00E34274">
              <w:rPr>
                <w:szCs w:val="16"/>
              </w:rPr>
              <w:t>982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Servicios Generales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 w:rsidRPr="00E34274">
              <w:rPr>
                <w:szCs w:val="16"/>
              </w:rPr>
              <w:t>65</w:t>
            </w:r>
            <w:r>
              <w:rPr>
                <w:szCs w:val="16"/>
              </w:rPr>
              <w:t>´</w:t>
            </w:r>
            <w:r w:rsidRPr="00E34274">
              <w:rPr>
                <w:szCs w:val="16"/>
              </w:rPr>
              <w:t>638</w:t>
            </w:r>
            <w:r>
              <w:rPr>
                <w:szCs w:val="16"/>
              </w:rPr>
              <w:t>,</w:t>
            </w:r>
            <w:r w:rsidRPr="00E34274">
              <w:rPr>
                <w:szCs w:val="16"/>
              </w:rPr>
              <w:t>041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Transferencias, Asignaciones, Subsidios y Otras Ayudas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 w:rsidRPr="00E34274">
              <w:rPr>
                <w:szCs w:val="16"/>
              </w:rPr>
              <w:t>23</w:t>
            </w:r>
            <w:r>
              <w:rPr>
                <w:szCs w:val="16"/>
              </w:rPr>
              <w:t>´</w:t>
            </w:r>
            <w:r w:rsidRPr="00E34274">
              <w:rPr>
                <w:szCs w:val="16"/>
              </w:rPr>
              <w:t>571</w:t>
            </w:r>
            <w:r>
              <w:rPr>
                <w:szCs w:val="16"/>
              </w:rPr>
              <w:t>,</w:t>
            </w:r>
            <w:r w:rsidRPr="00E34274">
              <w:rPr>
                <w:szCs w:val="16"/>
              </w:rPr>
              <w:t>263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Bienes Muebles, Inmuebles e Intangibles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 w:rsidRPr="00E34274">
              <w:rPr>
                <w:szCs w:val="16"/>
              </w:rPr>
              <w:t>5</w:t>
            </w:r>
            <w:r>
              <w:rPr>
                <w:szCs w:val="16"/>
              </w:rPr>
              <w:t>´</w:t>
            </w:r>
            <w:r w:rsidRPr="00E34274">
              <w:rPr>
                <w:szCs w:val="16"/>
              </w:rPr>
              <w:t>333</w:t>
            </w:r>
            <w:r>
              <w:rPr>
                <w:szCs w:val="16"/>
              </w:rPr>
              <w:t>,</w:t>
            </w:r>
            <w:r w:rsidRPr="00E34274">
              <w:rPr>
                <w:szCs w:val="16"/>
              </w:rPr>
              <w:t>823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Inversión Pública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 w:rsidRPr="00E34274">
              <w:rPr>
                <w:szCs w:val="16"/>
              </w:rPr>
              <w:t>169</w:t>
            </w:r>
            <w:r>
              <w:rPr>
                <w:szCs w:val="16"/>
              </w:rPr>
              <w:t>´</w:t>
            </w:r>
            <w:r w:rsidRPr="00E34274">
              <w:rPr>
                <w:szCs w:val="16"/>
              </w:rPr>
              <w:t>103</w:t>
            </w:r>
            <w:r>
              <w:rPr>
                <w:szCs w:val="16"/>
              </w:rPr>
              <w:t>,</w:t>
            </w:r>
            <w:r w:rsidRPr="00E34274">
              <w:rPr>
                <w:szCs w:val="16"/>
              </w:rPr>
              <w:t>846</w:t>
            </w:r>
            <w:r>
              <w:rPr>
                <w:szCs w:val="16"/>
              </w:rPr>
              <w:t>.00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Inversiones Financieras y Otras Provisiones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Participaciones y Aportaciones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EF7934" w:rsidRPr="00551390" w:rsidTr="00BE6667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Deuda Pública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934" w:rsidRPr="00551390" w:rsidRDefault="00EF7934" w:rsidP="00BE6667">
            <w:pPr>
              <w:pStyle w:val="Texto"/>
              <w:spacing w:before="120" w:after="120" w:line="260" w:lineRule="exact"/>
              <w:ind w:firstLine="0"/>
              <w:jc w:val="right"/>
              <w:rPr>
                <w:szCs w:val="16"/>
              </w:rPr>
            </w:pPr>
            <w:r w:rsidRPr="00E34274">
              <w:rPr>
                <w:szCs w:val="16"/>
              </w:rPr>
              <w:t>29</w:t>
            </w:r>
            <w:r>
              <w:rPr>
                <w:szCs w:val="16"/>
              </w:rPr>
              <w:t>´</w:t>
            </w:r>
            <w:r w:rsidRPr="00E34274">
              <w:rPr>
                <w:szCs w:val="16"/>
              </w:rPr>
              <w:t>132</w:t>
            </w:r>
            <w:r>
              <w:rPr>
                <w:szCs w:val="16"/>
              </w:rPr>
              <w:t>,</w:t>
            </w:r>
            <w:r w:rsidRPr="00E34274">
              <w:rPr>
                <w:szCs w:val="16"/>
              </w:rPr>
              <w:t>615</w:t>
            </w:r>
            <w:r>
              <w:rPr>
                <w:szCs w:val="16"/>
              </w:rPr>
              <w:t>.00</w:t>
            </w:r>
          </w:p>
        </w:tc>
      </w:tr>
    </w:tbl>
    <w:p w:rsidR="00EF7934" w:rsidRDefault="00EF7934" w:rsidP="00EF7934"/>
    <w:sectPr w:rsidR="00EF79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7DF8"/>
    <w:multiLevelType w:val="hybridMultilevel"/>
    <w:tmpl w:val="D9ECCC5C"/>
    <w:lvl w:ilvl="0" w:tplc="E22C56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34"/>
    <w:rsid w:val="00C93EA2"/>
    <w:rsid w:val="00E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EF793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EF7934"/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EF793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EF793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2377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2019-02-03T16:44:00Z</dcterms:created>
  <dcterms:modified xsi:type="dcterms:W3CDTF">2019-02-03T16:48:00Z</dcterms:modified>
</cp:coreProperties>
</file>